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“十三五”各地区能耗总量和强度“双控”目标</w:t>
      </w:r>
    </w:p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127"/>
        <w:gridCol w:w="2551"/>
        <w:gridCol w:w="26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地　　区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“十三五”能耗强度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降低目标（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%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年能源消费总量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（万吨标准煤）</w:t>
            </w:r>
          </w:p>
        </w:tc>
        <w:tc>
          <w:tcPr>
            <w:tcW w:w="26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“十三五”能耗增量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控制目标（万吨标准煤）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北　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6853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天　津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8260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29395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3390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　西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19384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内蒙古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18927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3570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辽　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21667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3550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吉　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8142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黑龙江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12126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上　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11387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　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30235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3480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浙　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19610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2380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安　徽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12332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福　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12180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2320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　西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8440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　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37945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4070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23161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3540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16404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2500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15469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2380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　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30145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3650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　西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9761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海　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1938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重　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8934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　川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19888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贵　州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9948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云　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10357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1940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西　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陕　西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11716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2170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甘　肃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7523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青　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4134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宁　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5405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　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15651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3540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注：西藏自治区相关数据暂缺。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“十三五”主要行业和部门节能指标</w:t>
      </w:r>
    </w:p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193"/>
        <w:gridCol w:w="2127"/>
        <w:gridCol w:w="992"/>
        <w:gridCol w:w="992"/>
        <w:gridCol w:w="17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指　　标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单　位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实际值</w:t>
            </w:r>
          </w:p>
        </w:tc>
        <w:tc>
          <w:tcPr>
            <w:tcW w:w="27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目标值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变化幅度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变化率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工业：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单位工业增加值（规模以上）能耗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［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-18%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火电供电煤耗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克标准煤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千瓦时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306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吨钢综合能耗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千克标准煤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560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水泥熟料综合能耗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千克标准煤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电解铝液交流电耗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千瓦时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13350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13200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-150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炼油综合能耗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千克标准油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乙烯综合能耗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千克标准煤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790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合成氨综合能耗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千克标准煤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1300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纸及纸板综合能耗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千克标准煤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480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建筑：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城镇既有居住建筑节能改造累计面积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亿平方米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城镇公共建筑节能改造累计面积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亿平方米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城镇新建绿色建筑标准执行率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交通运输：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铁路单位运输工作量综合能耗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吨标准煤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百万换算吨公里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［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-5%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营运车辆单位运输周转量能耗下降率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［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5%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营运船舶单位运输周转量能耗下降率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［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-6%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民航业单位运输周转量能耗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千克标准煤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吨公里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＜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415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＞［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-4%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新生产乘用车平均油耗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升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百公里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公共机构：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公共机构单位建筑面积能耗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千克标准煤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平方米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［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-10%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公共机构人均能耗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千克标准煤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370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330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［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-11%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终端用能设备：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燃煤工业锅炉（运行）效率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电动机系统效率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一级能效容积式空气压缩机市场占有率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小于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55kW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55kW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至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220kW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大于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220kW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一级能效电力变压器市场占有率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二级以上能效房间空调器市场占有率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+27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二级以上能效电冰箱市场占有率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99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二级以上能效家用燃气热水器市场占有率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98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+4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注：［　］内为变化率。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“十三五”各地区化学需氧量排放总量控制计划</w:t>
      </w:r>
    </w:p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2126"/>
        <w:gridCol w:w="2552"/>
        <w:gridCol w:w="26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地区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年排放量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（万吨）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年减排比例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t>%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2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年重点工程减排量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（万吨）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北京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天津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120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内蒙古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辽宁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116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吉林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黑龙江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139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上海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浙江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安徽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87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福建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175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128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120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160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海南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重庆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118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贵州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云南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西藏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－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陕西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甘肃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青海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宁夏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新疆生产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建设兵团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注：2020年减排比例根据各地区地表水质量改善任务确定，重点工程减排量根据“十三五”规划纲要、《水污染防治行动计划》及相关规划提出的环境治理保护重点工程确定。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“十三五”各地区氨氮排放总量控制计划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984"/>
        <w:gridCol w:w="2126"/>
        <w:gridCol w:w="25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地　区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年排放量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（万吨）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年减排比例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%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2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年重点工程减排量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（万吨）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北　京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天　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　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内蒙古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辽　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吉　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黑龙江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上　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　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浙　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安　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福　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　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　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　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　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海　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重　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　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贵　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云　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西　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－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陕　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甘　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青　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宁　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　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新疆生产建设兵团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注：2020年减排比例根据各地区地表水质量改善任务确定，重点工程减排量根据“十三五”规划纲要、《水污染防治行动计划》及相关规划提出的环境治理保护重点工程确定。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“十三五”各地区二氧化硫排放总量控制计划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519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1701"/>
        <w:gridCol w:w="2408"/>
        <w:gridCol w:w="25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地　区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年排放量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（万吨）</w:t>
            </w:r>
          </w:p>
        </w:tc>
        <w:tc>
          <w:tcPr>
            <w:tcW w:w="24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年减排比例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%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2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年重点工程减排量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（万吨）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北　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天　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　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内蒙古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辽　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吉　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黑龙江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上　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　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浙　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安　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福　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　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　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　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　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海　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重　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　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贵　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云　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西　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陕　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甘　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青　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宁　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　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新疆生产建设兵团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注：2020年减排比例根据各地区空气质量改善任务确定，重点工程减排量根据“十三五”规划纲要、《大气污染防治行动计划》及相关规划提出的环境治理保护重点工程确定。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“十三五”各地区氮氧化物排放总量控制计划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1843"/>
        <w:gridCol w:w="1984"/>
        <w:gridCol w:w="25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地　区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年排放量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（万吨）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年减排比例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%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2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年重点工程减排量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（万吨）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北　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天　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　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内蒙古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辽　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吉　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黑龙江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上　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　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浙　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安　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福　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　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　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142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　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　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海　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重　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　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贵　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云　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西　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陕　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甘　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青　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宁　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　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新疆生产建设兵团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注：2020年减排比例根据各地区空气质量改善任务确定，重点工程减排量根据“十三五”规划纲要、《大气污染防治行动计划》及相关规划提出的环境治理保护重点工程确定。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“十三五”重点地区挥发性有机物排放总量控制计划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520" w:type="dxa"/>
        <w:jc w:val="center"/>
        <w:tblInd w:w="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409"/>
        <w:gridCol w:w="2269"/>
        <w:gridCol w:w="23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地区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年排放量（万吨）</w:t>
            </w:r>
          </w:p>
        </w:tc>
        <w:tc>
          <w:tcPr>
            <w:tcW w:w="22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年减排比例（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%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）</w:t>
            </w:r>
          </w:p>
        </w:tc>
        <w:tc>
          <w:tcPr>
            <w:tcW w:w="2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年重点工程减排量（万吨）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北　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天　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154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辽　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上　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　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浙　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安　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山　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192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河　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湖　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98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　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137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重　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　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陕　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67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注：“十三五”期间主要推进石化、化工、包装印刷和工业涂装等重点行业挥发性有机物减排，相关指标根据重点行业减排潜力、环境质量改善需求等因素分解落实到各有关省份。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B6A54"/>
    <w:rsid w:val="416B6A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2017-01-10T01:58:00Z</dcterms:created>
  <dc:creator>hp-xinping</dc:creator>
  <cp:lastModifiedBy>hp-xinping</cp:lastModifiedBy>
  <dcterms:modified xsi:type="dcterms:W3CDTF">2017-01-10T01:59:26Z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